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E0278" w14:textId="77777777" w:rsidR="00857DDD" w:rsidRPr="00BA3010" w:rsidRDefault="00857DDD">
      <w:pPr>
        <w:rPr>
          <w:rFonts w:ascii="Gibson Light" w:hAnsi="Gibson Light"/>
          <w:sz w:val="20"/>
          <w:szCs w:val="20"/>
        </w:rPr>
      </w:pPr>
    </w:p>
    <w:p w14:paraId="5F403252" w14:textId="77777777" w:rsidR="00BA3010" w:rsidRPr="009316F7" w:rsidRDefault="00BA3010" w:rsidP="00BA3010">
      <w:pPr>
        <w:pStyle w:val="Heading2"/>
        <w:rPr>
          <w:rFonts w:ascii="Gibson Light" w:hAnsi="Gibson Light"/>
          <w:sz w:val="20"/>
          <w:szCs w:val="20"/>
        </w:rPr>
      </w:pPr>
      <w:bookmarkStart w:id="0" w:name="_Toc165027772"/>
      <w:r w:rsidRPr="009316F7">
        <w:rPr>
          <w:rFonts w:ascii="Gibson Light" w:hAnsi="Gibson Light"/>
          <w:sz w:val="20"/>
          <w:szCs w:val="20"/>
        </w:rPr>
        <w:t>Policy Duty</w:t>
      </w:r>
      <w:bookmarkEnd w:id="0"/>
    </w:p>
    <w:p w14:paraId="55BA2F15" w14:textId="18BFAC3A" w:rsidR="00BA3010" w:rsidRPr="009316F7" w:rsidRDefault="00BA3010" w:rsidP="00BA3010">
      <w:pPr>
        <w:spacing w:after="0" w:line="276" w:lineRule="auto"/>
        <w:jc w:val="both"/>
        <w:rPr>
          <w:rFonts w:ascii="Gibson Light" w:hAnsi="Gibson Light"/>
          <w:sz w:val="20"/>
          <w:szCs w:val="20"/>
        </w:rPr>
      </w:pPr>
      <w:r w:rsidRPr="009316F7">
        <w:rPr>
          <w:rFonts w:ascii="Gibson Light" w:hAnsi="Gibson Light"/>
          <w:sz w:val="20"/>
          <w:szCs w:val="20"/>
        </w:rPr>
        <w:t xml:space="preserve">Thrive Childcare &amp; Education duty of candour procedure reflect our commitment to place people at the heart of our services.  It is our legal </w:t>
      </w:r>
      <w:r w:rsidR="00BB0889" w:rsidRPr="009316F7">
        <w:rPr>
          <w:rFonts w:ascii="Gibson Light" w:hAnsi="Gibson Light"/>
          <w:sz w:val="20"/>
          <w:szCs w:val="20"/>
        </w:rPr>
        <w:t>duty and</w:t>
      </w:r>
      <w:r w:rsidRPr="009316F7">
        <w:rPr>
          <w:rFonts w:ascii="Gibson Light" w:hAnsi="Gibson Light"/>
          <w:sz w:val="20"/>
          <w:szCs w:val="20"/>
        </w:rPr>
        <w:t xml:space="preserve"> sets out how we should tell those affected that an ‘unintended’ or ‘unexpected’ incident appears to have caused </w:t>
      </w:r>
      <w:r w:rsidR="00BB0889">
        <w:rPr>
          <w:rFonts w:ascii="Gibson Light" w:hAnsi="Gibson Light"/>
          <w:sz w:val="20"/>
          <w:szCs w:val="20"/>
        </w:rPr>
        <w:t xml:space="preserve">significant </w:t>
      </w:r>
      <w:r w:rsidRPr="009316F7">
        <w:rPr>
          <w:rFonts w:ascii="Gibson Light" w:hAnsi="Gibson Light"/>
          <w:sz w:val="20"/>
          <w:szCs w:val="20"/>
        </w:rPr>
        <w:t xml:space="preserve">harm or death. </w:t>
      </w:r>
    </w:p>
    <w:p w14:paraId="1E050C34" w14:textId="77777777" w:rsidR="00BA3010" w:rsidRPr="009316F7" w:rsidRDefault="00BA3010" w:rsidP="00BA3010">
      <w:pPr>
        <w:spacing w:after="0" w:line="276" w:lineRule="auto"/>
        <w:jc w:val="both"/>
        <w:rPr>
          <w:rFonts w:ascii="Gibson Light" w:hAnsi="Gibson Light"/>
          <w:sz w:val="20"/>
          <w:szCs w:val="20"/>
        </w:rPr>
      </w:pPr>
    </w:p>
    <w:p w14:paraId="62AD2B44" w14:textId="77777777" w:rsidR="00BA3010" w:rsidRPr="009316F7" w:rsidRDefault="00BA3010" w:rsidP="00BA3010">
      <w:pPr>
        <w:pStyle w:val="Heading2"/>
        <w:rPr>
          <w:rFonts w:ascii="Gibson Light" w:hAnsi="Gibson Light"/>
          <w:sz w:val="20"/>
          <w:szCs w:val="20"/>
        </w:rPr>
      </w:pPr>
      <w:bookmarkStart w:id="1" w:name="_Toc165027773"/>
      <w:r w:rsidRPr="009316F7">
        <w:rPr>
          <w:rFonts w:ascii="Gibson Light" w:hAnsi="Gibson Light"/>
          <w:sz w:val="20"/>
          <w:szCs w:val="20"/>
        </w:rPr>
        <w:t>Policy Aim</w:t>
      </w:r>
      <w:bookmarkEnd w:id="1"/>
    </w:p>
    <w:p w14:paraId="2861CC76" w14:textId="648C4868" w:rsidR="00BA3010" w:rsidRPr="009316F7" w:rsidRDefault="00BA3010" w:rsidP="00BA3010">
      <w:pPr>
        <w:spacing w:after="0" w:line="276" w:lineRule="auto"/>
        <w:jc w:val="both"/>
        <w:rPr>
          <w:rFonts w:ascii="Gibson Light" w:hAnsi="Gibson Light"/>
          <w:sz w:val="20"/>
          <w:szCs w:val="20"/>
        </w:rPr>
      </w:pPr>
      <w:r w:rsidRPr="009316F7">
        <w:rPr>
          <w:rFonts w:ascii="Gibson Light" w:hAnsi="Gibson Light"/>
          <w:sz w:val="20"/>
          <w:szCs w:val="20"/>
        </w:rPr>
        <w:t xml:space="preserve">The aim of this policy is to ensure that Thrive complies with its legal requirements of ‘The Duty of Candour Procedures (Scotland) Regulations 2018’, which underpins our commitment to openness and transparency, and is vital to the provision of safe, </w:t>
      </w:r>
      <w:r w:rsidR="00DF21E6" w:rsidRPr="009316F7">
        <w:rPr>
          <w:rFonts w:ascii="Gibson Light" w:hAnsi="Gibson Light"/>
          <w:sz w:val="20"/>
          <w:szCs w:val="20"/>
        </w:rPr>
        <w:t>effective,</w:t>
      </w:r>
      <w:r w:rsidRPr="009316F7">
        <w:rPr>
          <w:rFonts w:ascii="Gibson Light" w:hAnsi="Gibson Light"/>
          <w:sz w:val="20"/>
          <w:szCs w:val="20"/>
        </w:rPr>
        <w:t xml:space="preserve"> and person-centred care. By implementing the detail of this legislation means that we are responding, recording, and communicating with our service users about any serious incidents that we may experience within our settings.</w:t>
      </w:r>
    </w:p>
    <w:p w14:paraId="198AF0EB" w14:textId="77777777" w:rsidR="00BA3010" w:rsidRPr="009316F7" w:rsidRDefault="00BA3010">
      <w:pPr>
        <w:rPr>
          <w:rFonts w:ascii="Gibson Light" w:hAnsi="Gibson Light"/>
          <w:sz w:val="20"/>
          <w:szCs w:val="20"/>
        </w:rPr>
      </w:pPr>
    </w:p>
    <w:p w14:paraId="4BDBD750" w14:textId="121EE0AB" w:rsidR="00BA3010" w:rsidRPr="009316F7" w:rsidRDefault="00BA3010" w:rsidP="00BA3010">
      <w:pPr>
        <w:pStyle w:val="Heading2"/>
        <w:rPr>
          <w:rFonts w:ascii="Gibson Light" w:hAnsi="Gibson Light"/>
          <w:sz w:val="20"/>
          <w:szCs w:val="20"/>
        </w:rPr>
      </w:pPr>
      <w:r w:rsidRPr="009316F7">
        <w:rPr>
          <w:rFonts w:ascii="Gibson Light" w:hAnsi="Gibson Light"/>
          <w:sz w:val="20"/>
          <w:szCs w:val="20"/>
        </w:rPr>
        <w:t>About Thrive Childcare &amp; Education services.</w:t>
      </w:r>
    </w:p>
    <w:p w14:paraId="73214F07" w14:textId="43D5E8F3" w:rsidR="00BA3010" w:rsidRPr="009316F7" w:rsidRDefault="00BA3010" w:rsidP="00BA3010">
      <w:pPr>
        <w:jc w:val="both"/>
        <w:rPr>
          <w:rFonts w:ascii="Gibson Light" w:hAnsi="Gibson Light"/>
          <w:sz w:val="20"/>
          <w:szCs w:val="20"/>
        </w:rPr>
      </w:pPr>
      <w:r w:rsidRPr="009316F7">
        <w:rPr>
          <w:rFonts w:ascii="Gibson Light" w:hAnsi="Gibson Light"/>
          <w:sz w:val="20"/>
          <w:szCs w:val="20"/>
        </w:rPr>
        <w:t>Thrive Childcare &amp; Education is a well-established service provider, operating 4</w:t>
      </w:r>
      <w:r w:rsidR="00416256">
        <w:rPr>
          <w:rFonts w:ascii="Gibson Light" w:hAnsi="Gibson Light"/>
          <w:sz w:val="20"/>
          <w:szCs w:val="20"/>
        </w:rPr>
        <w:t>6</w:t>
      </w:r>
      <w:r w:rsidRPr="009316F7">
        <w:rPr>
          <w:rFonts w:ascii="Gibson Light" w:hAnsi="Gibson Light"/>
          <w:sz w:val="20"/>
          <w:szCs w:val="20"/>
        </w:rPr>
        <w:t xml:space="preserve"> nurseries Nationally, with 2</w:t>
      </w:r>
      <w:r w:rsidR="00416256">
        <w:rPr>
          <w:rFonts w:ascii="Gibson Light" w:hAnsi="Gibson Light"/>
          <w:sz w:val="20"/>
          <w:szCs w:val="20"/>
        </w:rPr>
        <w:t>2</w:t>
      </w:r>
      <w:r w:rsidRPr="009316F7">
        <w:rPr>
          <w:rFonts w:ascii="Gibson Light" w:hAnsi="Gibson Light"/>
          <w:sz w:val="20"/>
          <w:szCs w:val="20"/>
        </w:rPr>
        <w:t xml:space="preserve"> of these settings in Scotland.  Thrive nurseries provide full time, </w:t>
      </w:r>
      <w:r w:rsidR="00BB0889" w:rsidRPr="009316F7">
        <w:rPr>
          <w:rFonts w:ascii="Gibson Light" w:hAnsi="Gibson Light"/>
          <w:sz w:val="20"/>
          <w:szCs w:val="20"/>
        </w:rPr>
        <w:t>sessional nursery</w:t>
      </w:r>
      <w:r w:rsidRPr="009316F7">
        <w:rPr>
          <w:rFonts w:ascii="Gibson Light" w:hAnsi="Gibson Light"/>
          <w:sz w:val="20"/>
          <w:szCs w:val="20"/>
        </w:rPr>
        <w:t xml:space="preserve"> care and education for children from 3 months to 5 years old, with a small number of ‘Out Of School (OOS) services for children over the age of 5.  </w:t>
      </w:r>
    </w:p>
    <w:p w14:paraId="2B0700C8" w14:textId="77777777" w:rsidR="00BA3010" w:rsidRPr="009316F7" w:rsidRDefault="00BA3010" w:rsidP="00BA3010">
      <w:pPr>
        <w:jc w:val="both"/>
        <w:rPr>
          <w:rFonts w:ascii="Gibson Light" w:hAnsi="Gibson Light"/>
          <w:sz w:val="20"/>
          <w:szCs w:val="20"/>
        </w:rPr>
      </w:pPr>
      <w:r w:rsidRPr="009316F7">
        <w:rPr>
          <w:rFonts w:ascii="Gibson Light" w:hAnsi="Gibson Light"/>
          <w:sz w:val="20"/>
          <w:szCs w:val="20"/>
        </w:rPr>
        <w:t>At Thrive Childcare and Education, we put children first every time and our long-standing, experienced teams deliver every day with passion. As part of our mission to create a better world, we provide settings optimised for children to learn, explore and be happy. We help them to understand that the environment is there to be respected as well as to provide them with so many learning opportunities.</w:t>
      </w:r>
    </w:p>
    <w:p w14:paraId="4D37B358" w14:textId="486A6308" w:rsidR="00BA3010" w:rsidRDefault="00BA3010" w:rsidP="00BA3010">
      <w:pPr>
        <w:jc w:val="both"/>
        <w:rPr>
          <w:rFonts w:ascii="Gibson Light" w:hAnsi="Gibson Light"/>
          <w:sz w:val="20"/>
          <w:szCs w:val="20"/>
        </w:rPr>
      </w:pPr>
      <w:r w:rsidRPr="009316F7">
        <w:rPr>
          <w:rFonts w:ascii="Gibson Light" w:hAnsi="Gibson Light"/>
          <w:sz w:val="20"/>
          <w:szCs w:val="20"/>
        </w:rPr>
        <w:t>We have a unique approach to education with an emphasis on nature and the outdoors, so we provide as many natural areas as we can. Our forest schools for example are built around the children’s imaginations thus providing an environment where they can be themselves as well as learn to be expressive. We believe that children learn best through play.</w:t>
      </w:r>
    </w:p>
    <w:p w14:paraId="302DA73A" w14:textId="77777777" w:rsidR="009316F7" w:rsidRPr="009316F7" w:rsidRDefault="009316F7" w:rsidP="00BA3010">
      <w:pPr>
        <w:jc w:val="both"/>
        <w:rPr>
          <w:rFonts w:ascii="Gibson Light" w:hAnsi="Gibson Light"/>
          <w:sz w:val="20"/>
          <w:szCs w:val="20"/>
        </w:rPr>
      </w:pPr>
    </w:p>
    <w:p w14:paraId="57023413" w14:textId="69E43D3A" w:rsidR="009A0D87" w:rsidRPr="009316F7" w:rsidRDefault="009A0D87" w:rsidP="009A0D87">
      <w:pPr>
        <w:pStyle w:val="Heading2"/>
        <w:rPr>
          <w:rFonts w:ascii="Gibson Light" w:hAnsi="Gibson Light"/>
          <w:sz w:val="20"/>
          <w:szCs w:val="20"/>
        </w:rPr>
      </w:pPr>
      <w:r w:rsidRPr="009316F7">
        <w:rPr>
          <w:rFonts w:ascii="Gibson Light" w:hAnsi="Gibson Light"/>
          <w:sz w:val="20"/>
          <w:szCs w:val="20"/>
        </w:rPr>
        <w:t>Duty of Candour Report</w:t>
      </w:r>
    </w:p>
    <w:p w14:paraId="108784C1" w14:textId="4437CD9D" w:rsidR="009A0D87" w:rsidRPr="009316F7" w:rsidRDefault="009316F7" w:rsidP="009316F7">
      <w:pPr>
        <w:jc w:val="center"/>
        <w:rPr>
          <w:rFonts w:ascii="Gibson Light" w:hAnsi="Gibson Light"/>
          <w:b/>
          <w:bCs/>
          <w:sz w:val="20"/>
          <w:szCs w:val="20"/>
        </w:rPr>
      </w:pPr>
      <w:r>
        <w:rPr>
          <w:rFonts w:ascii="Gibson Light" w:hAnsi="Gibson Light"/>
          <w:b/>
          <w:bCs/>
          <w:sz w:val="20"/>
          <w:szCs w:val="20"/>
        </w:rPr>
        <w:t>T</w:t>
      </w:r>
      <w:r w:rsidR="009A0D87" w:rsidRPr="009316F7">
        <w:rPr>
          <w:rFonts w:ascii="Gibson Light" w:hAnsi="Gibson Light"/>
          <w:b/>
          <w:bCs/>
          <w:sz w:val="20"/>
          <w:szCs w:val="20"/>
        </w:rPr>
        <w:t>hrive has had no incidents to which the duty of candour applied.</w:t>
      </w:r>
    </w:p>
    <w:tbl>
      <w:tblPr>
        <w:tblStyle w:val="TableGrid"/>
        <w:tblW w:w="0" w:type="auto"/>
        <w:tblLook w:val="04A0" w:firstRow="1" w:lastRow="0" w:firstColumn="1" w:lastColumn="0" w:noHBand="0" w:noVBand="1"/>
      </w:tblPr>
      <w:tblGrid>
        <w:gridCol w:w="10338"/>
      </w:tblGrid>
      <w:tr w:rsidR="009A0D87" w:rsidRPr="009316F7" w14:paraId="0ACFBC94" w14:textId="77777777" w:rsidTr="009316F7">
        <w:tc>
          <w:tcPr>
            <w:tcW w:w="10338" w:type="dxa"/>
            <w:shd w:val="clear" w:color="auto" w:fill="A6A6A6" w:themeFill="background1" w:themeFillShade="A6"/>
          </w:tcPr>
          <w:p w14:paraId="498291A5" w14:textId="77777777" w:rsidR="009A0D87" w:rsidRPr="009316F7" w:rsidRDefault="009A0D87" w:rsidP="009A0D87">
            <w:pPr>
              <w:pStyle w:val="ListParagraph"/>
              <w:numPr>
                <w:ilvl w:val="0"/>
                <w:numId w:val="2"/>
              </w:numPr>
              <w:ind w:left="360"/>
              <w:jc w:val="both"/>
              <w:rPr>
                <w:rFonts w:ascii="Gibson Light" w:hAnsi="Gibson Light"/>
                <w:b/>
                <w:bCs/>
                <w:sz w:val="18"/>
                <w:szCs w:val="18"/>
              </w:rPr>
            </w:pPr>
            <w:r w:rsidRPr="009316F7">
              <w:rPr>
                <w:rFonts w:ascii="Gibson Light" w:hAnsi="Gibson Light"/>
                <w:b/>
                <w:bCs/>
                <w:sz w:val="18"/>
                <w:szCs w:val="18"/>
              </w:rPr>
              <w:t>number and nature of incidents to which the duty of candour procedure has applied.</w:t>
            </w:r>
          </w:p>
          <w:p w14:paraId="238A46ED" w14:textId="60420E43" w:rsidR="009316F7" w:rsidRPr="009316F7" w:rsidRDefault="009316F7" w:rsidP="009316F7">
            <w:pPr>
              <w:jc w:val="both"/>
              <w:rPr>
                <w:rFonts w:ascii="Gibson Light" w:hAnsi="Gibson Light"/>
                <w:b/>
                <w:bCs/>
                <w:sz w:val="18"/>
                <w:szCs w:val="18"/>
              </w:rPr>
            </w:pPr>
          </w:p>
        </w:tc>
      </w:tr>
      <w:tr w:rsidR="009A0D87" w:rsidRPr="009316F7" w14:paraId="463910BA" w14:textId="77777777" w:rsidTr="009A0D87">
        <w:tc>
          <w:tcPr>
            <w:tcW w:w="10338" w:type="dxa"/>
          </w:tcPr>
          <w:p w14:paraId="74793F11" w14:textId="6A757093" w:rsidR="009A0D87" w:rsidRPr="009316F7" w:rsidRDefault="009316F7" w:rsidP="009316F7">
            <w:pPr>
              <w:jc w:val="center"/>
              <w:rPr>
                <w:rFonts w:ascii="Gibson Light" w:hAnsi="Gibson Light"/>
                <w:sz w:val="18"/>
                <w:szCs w:val="18"/>
              </w:rPr>
            </w:pPr>
            <w:r w:rsidRPr="009316F7">
              <w:rPr>
                <w:rFonts w:ascii="Gibson Light" w:hAnsi="Gibson Light"/>
                <w:sz w:val="18"/>
                <w:szCs w:val="18"/>
              </w:rPr>
              <w:t>0</w:t>
            </w:r>
          </w:p>
          <w:p w14:paraId="5E82425F" w14:textId="11B1CF9D" w:rsidR="009316F7" w:rsidRPr="009316F7" w:rsidRDefault="009316F7" w:rsidP="009316F7">
            <w:pPr>
              <w:jc w:val="center"/>
              <w:rPr>
                <w:rFonts w:ascii="Gibson Light" w:hAnsi="Gibson Light"/>
                <w:sz w:val="18"/>
                <w:szCs w:val="18"/>
              </w:rPr>
            </w:pPr>
          </w:p>
        </w:tc>
      </w:tr>
      <w:tr w:rsidR="009A0D87" w:rsidRPr="009316F7" w14:paraId="363AE6FE" w14:textId="77777777" w:rsidTr="009316F7">
        <w:tc>
          <w:tcPr>
            <w:tcW w:w="10338" w:type="dxa"/>
            <w:shd w:val="clear" w:color="auto" w:fill="A6A6A6" w:themeFill="background1" w:themeFillShade="A6"/>
          </w:tcPr>
          <w:p w14:paraId="3AAEA5A0" w14:textId="77777777" w:rsidR="009316F7" w:rsidRPr="009316F7" w:rsidRDefault="009316F7" w:rsidP="009316F7">
            <w:pPr>
              <w:pStyle w:val="ListParagraph"/>
              <w:numPr>
                <w:ilvl w:val="0"/>
                <w:numId w:val="2"/>
              </w:numPr>
              <w:ind w:left="360"/>
              <w:jc w:val="both"/>
              <w:rPr>
                <w:rFonts w:ascii="Gibson Light" w:hAnsi="Gibson Light"/>
                <w:b/>
                <w:bCs/>
                <w:sz w:val="18"/>
                <w:szCs w:val="18"/>
              </w:rPr>
            </w:pPr>
            <w:r w:rsidRPr="009316F7">
              <w:rPr>
                <w:rFonts w:ascii="Gibson Light" w:hAnsi="Gibson Light"/>
                <w:b/>
                <w:bCs/>
                <w:sz w:val="18"/>
                <w:szCs w:val="18"/>
              </w:rPr>
              <w:t>an assessment of the extent to which the responsible person carried out the duty of candour.</w:t>
            </w:r>
          </w:p>
          <w:p w14:paraId="16437DB9" w14:textId="77777777" w:rsidR="009A0D87" w:rsidRPr="009316F7" w:rsidRDefault="009A0D87" w:rsidP="009A0D87">
            <w:pPr>
              <w:rPr>
                <w:rFonts w:ascii="Gibson Light" w:hAnsi="Gibson Light"/>
                <w:sz w:val="18"/>
                <w:szCs w:val="18"/>
              </w:rPr>
            </w:pPr>
          </w:p>
        </w:tc>
      </w:tr>
      <w:tr w:rsidR="009316F7" w:rsidRPr="009316F7" w14:paraId="79539DF4" w14:textId="77777777" w:rsidTr="009A0D87">
        <w:tc>
          <w:tcPr>
            <w:tcW w:w="10338" w:type="dxa"/>
          </w:tcPr>
          <w:p w14:paraId="0BD26AAF" w14:textId="77777777" w:rsidR="009316F7" w:rsidRPr="009316F7" w:rsidRDefault="009316F7" w:rsidP="009316F7">
            <w:pPr>
              <w:jc w:val="center"/>
              <w:rPr>
                <w:rFonts w:ascii="Gibson Light" w:hAnsi="Gibson Light"/>
                <w:sz w:val="18"/>
                <w:szCs w:val="18"/>
              </w:rPr>
            </w:pPr>
            <w:r w:rsidRPr="009316F7">
              <w:rPr>
                <w:rFonts w:ascii="Gibson Light" w:hAnsi="Gibson Light"/>
                <w:sz w:val="18"/>
                <w:szCs w:val="18"/>
              </w:rPr>
              <w:t>NA</w:t>
            </w:r>
          </w:p>
          <w:p w14:paraId="135685B1" w14:textId="257A9DA2" w:rsidR="009316F7" w:rsidRPr="009316F7" w:rsidRDefault="009316F7" w:rsidP="009316F7">
            <w:pPr>
              <w:pStyle w:val="ListParagraph"/>
              <w:ind w:left="360"/>
              <w:jc w:val="both"/>
              <w:rPr>
                <w:rFonts w:ascii="Gibson Light" w:hAnsi="Gibson Light"/>
                <w:b/>
                <w:bCs/>
                <w:sz w:val="18"/>
                <w:szCs w:val="18"/>
              </w:rPr>
            </w:pPr>
          </w:p>
        </w:tc>
      </w:tr>
      <w:tr w:rsidR="009A0D87" w:rsidRPr="009316F7" w14:paraId="33E31305" w14:textId="77777777" w:rsidTr="009316F7">
        <w:tc>
          <w:tcPr>
            <w:tcW w:w="10338" w:type="dxa"/>
            <w:shd w:val="clear" w:color="auto" w:fill="A6A6A6" w:themeFill="background1" w:themeFillShade="A6"/>
          </w:tcPr>
          <w:p w14:paraId="0CF4A7FC" w14:textId="77777777" w:rsidR="009316F7" w:rsidRPr="009316F7" w:rsidRDefault="009316F7" w:rsidP="009316F7">
            <w:pPr>
              <w:pStyle w:val="ListParagraph"/>
              <w:numPr>
                <w:ilvl w:val="0"/>
                <w:numId w:val="2"/>
              </w:numPr>
              <w:ind w:left="360"/>
              <w:jc w:val="both"/>
              <w:rPr>
                <w:rFonts w:ascii="Gibson Light" w:hAnsi="Gibson Light"/>
                <w:b/>
                <w:bCs/>
                <w:sz w:val="18"/>
                <w:szCs w:val="18"/>
              </w:rPr>
            </w:pPr>
            <w:r w:rsidRPr="009316F7">
              <w:rPr>
                <w:rFonts w:ascii="Gibson Light" w:hAnsi="Gibson Light"/>
                <w:b/>
                <w:bCs/>
                <w:sz w:val="18"/>
                <w:szCs w:val="18"/>
              </w:rPr>
              <w:t>information about the responsible person's policies and procedures in relation to the duty of candour.</w:t>
            </w:r>
          </w:p>
          <w:p w14:paraId="0CBC6E60" w14:textId="77777777" w:rsidR="009A0D87" w:rsidRPr="009316F7" w:rsidRDefault="009A0D87" w:rsidP="009A0D87">
            <w:pPr>
              <w:rPr>
                <w:rFonts w:ascii="Gibson Light" w:hAnsi="Gibson Light"/>
                <w:sz w:val="18"/>
                <w:szCs w:val="18"/>
              </w:rPr>
            </w:pPr>
          </w:p>
        </w:tc>
      </w:tr>
      <w:tr w:rsidR="009316F7" w:rsidRPr="009316F7" w14:paraId="4FFB5C36" w14:textId="77777777" w:rsidTr="009A0D87">
        <w:tc>
          <w:tcPr>
            <w:tcW w:w="10338" w:type="dxa"/>
          </w:tcPr>
          <w:p w14:paraId="429C25A8" w14:textId="2E5B80F4" w:rsidR="009E736D" w:rsidRDefault="009E736D" w:rsidP="009E736D">
            <w:pPr>
              <w:jc w:val="center"/>
              <w:rPr>
                <w:rFonts w:ascii="Gibson Light" w:hAnsi="Gibson Light"/>
                <w:sz w:val="18"/>
                <w:szCs w:val="18"/>
              </w:rPr>
            </w:pPr>
            <w:r>
              <w:rPr>
                <w:rFonts w:ascii="Gibson Light" w:hAnsi="Gibson Light"/>
                <w:sz w:val="18"/>
                <w:szCs w:val="18"/>
              </w:rPr>
              <w:t>Y</w:t>
            </w:r>
            <w:r w:rsidR="00561276">
              <w:rPr>
                <w:rFonts w:ascii="Gibson Light" w:hAnsi="Gibson Light"/>
                <w:sz w:val="18"/>
                <w:szCs w:val="18"/>
              </w:rPr>
              <w:t>es</w:t>
            </w:r>
          </w:p>
          <w:p w14:paraId="3B83F283" w14:textId="189BE6DB" w:rsidR="009E736D" w:rsidRPr="009E736D" w:rsidRDefault="009E736D" w:rsidP="009E736D">
            <w:pPr>
              <w:jc w:val="center"/>
              <w:rPr>
                <w:rFonts w:ascii="Gibson Light" w:hAnsi="Gibson Light"/>
                <w:sz w:val="18"/>
                <w:szCs w:val="18"/>
              </w:rPr>
            </w:pPr>
          </w:p>
        </w:tc>
      </w:tr>
      <w:tr w:rsidR="009A0D87" w:rsidRPr="009316F7" w14:paraId="02D881D0" w14:textId="77777777" w:rsidTr="009316F7">
        <w:tc>
          <w:tcPr>
            <w:tcW w:w="10338" w:type="dxa"/>
            <w:shd w:val="clear" w:color="auto" w:fill="A6A6A6" w:themeFill="background1" w:themeFillShade="A6"/>
          </w:tcPr>
          <w:p w14:paraId="5D527EA7" w14:textId="43A19150" w:rsidR="009316F7" w:rsidRPr="009316F7" w:rsidRDefault="009316F7" w:rsidP="009316F7">
            <w:pPr>
              <w:pStyle w:val="ListParagraph"/>
              <w:numPr>
                <w:ilvl w:val="0"/>
                <w:numId w:val="2"/>
              </w:numPr>
              <w:ind w:left="360"/>
              <w:jc w:val="both"/>
              <w:rPr>
                <w:rFonts w:ascii="Gibson Light" w:hAnsi="Gibson Light"/>
                <w:b/>
                <w:bCs/>
                <w:sz w:val="18"/>
                <w:szCs w:val="18"/>
              </w:rPr>
            </w:pPr>
            <w:r w:rsidRPr="009316F7">
              <w:rPr>
                <w:rFonts w:ascii="Gibson Light" w:hAnsi="Gibson Light"/>
                <w:b/>
                <w:bCs/>
                <w:sz w:val="18"/>
                <w:szCs w:val="18"/>
              </w:rPr>
              <w:t xml:space="preserve">including information about procedures for identifying and reporting </w:t>
            </w:r>
            <w:r w:rsidR="00561276" w:rsidRPr="009316F7">
              <w:rPr>
                <w:rFonts w:ascii="Gibson Light" w:hAnsi="Gibson Light"/>
                <w:b/>
                <w:bCs/>
                <w:sz w:val="18"/>
                <w:szCs w:val="18"/>
              </w:rPr>
              <w:t>incidents and</w:t>
            </w:r>
            <w:r w:rsidRPr="009316F7">
              <w:rPr>
                <w:rFonts w:ascii="Gibson Light" w:hAnsi="Gibson Light"/>
                <w:b/>
                <w:bCs/>
                <w:sz w:val="18"/>
                <w:szCs w:val="18"/>
              </w:rPr>
              <w:t xml:space="preserve"> support available to staff and to persons affected by </w:t>
            </w:r>
            <w:r w:rsidR="00DF21E6" w:rsidRPr="009316F7">
              <w:rPr>
                <w:rFonts w:ascii="Gibson Light" w:hAnsi="Gibson Light"/>
                <w:b/>
                <w:bCs/>
                <w:sz w:val="18"/>
                <w:szCs w:val="18"/>
              </w:rPr>
              <w:t>incidents.</w:t>
            </w:r>
          </w:p>
          <w:p w14:paraId="295D7EDC" w14:textId="77777777" w:rsidR="009A0D87" w:rsidRPr="009316F7" w:rsidRDefault="009A0D87" w:rsidP="009A0D87">
            <w:pPr>
              <w:rPr>
                <w:rFonts w:ascii="Gibson Light" w:hAnsi="Gibson Light"/>
                <w:sz w:val="18"/>
                <w:szCs w:val="18"/>
              </w:rPr>
            </w:pPr>
          </w:p>
        </w:tc>
      </w:tr>
      <w:tr w:rsidR="009A0D87" w:rsidRPr="009316F7" w14:paraId="4CD47A04" w14:textId="77777777" w:rsidTr="009A0D87">
        <w:tc>
          <w:tcPr>
            <w:tcW w:w="10338" w:type="dxa"/>
          </w:tcPr>
          <w:p w14:paraId="60E82A2D" w14:textId="1A360836" w:rsidR="009316F7" w:rsidRPr="009316F7" w:rsidRDefault="00561276" w:rsidP="009316F7">
            <w:pPr>
              <w:jc w:val="center"/>
              <w:rPr>
                <w:rFonts w:ascii="Gibson Light" w:hAnsi="Gibson Light"/>
                <w:sz w:val="18"/>
                <w:szCs w:val="18"/>
              </w:rPr>
            </w:pPr>
            <w:r>
              <w:rPr>
                <w:rFonts w:ascii="Gibson Light" w:hAnsi="Gibson Light"/>
                <w:sz w:val="18"/>
                <w:szCs w:val="18"/>
              </w:rPr>
              <w:t>Yes</w:t>
            </w:r>
          </w:p>
          <w:p w14:paraId="46F8AB67" w14:textId="77777777" w:rsidR="009A0D87" w:rsidRPr="009316F7" w:rsidRDefault="009A0D87" w:rsidP="009A0D87">
            <w:pPr>
              <w:rPr>
                <w:rFonts w:ascii="Gibson Light" w:hAnsi="Gibson Light"/>
                <w:sz w:val="18"/>
                <w:szCs w:val="18"/>
              </w:rPr>
            </w:pPr>
          </w:p>
        </w:tc>
      </w:tr>
      <w:tr w:rsidR="009A0D87" w:rsidRPr="009316F7" w14:paraId="2773A315" w14:textId="77777777" w:rsidTr="009316F7">
        <w:tc>
          <w:tcPr>
            <w:tcW w:w="10338" w:type="dxa"/>
            <w:shd w:val="clear" w:color="auto" w:fill="A6A6A6" w:themeFill="background1" w:themeFillShade="A6"/>
          </w:tcPr>
          <w:p w14:paraId="5598FCD2" w14:textId="3ACDD2FD" w:rsidR="009316F7" w:rsidRPr="009316F7" w:rsidRDefault="009316F7" w:rsidP="009316F7">
            <w:pPr>
              <w:pStyle w:val="ListParagraph"/>
              <w:numPr>
                <w:ilvl w:val="0"/>
                <w:numId w:val="2"/>
              </w:numPr>
              <w:ind w:left="360"/>
              <w:jc w:val="both"/>
              <w:rPr>
                <w:rFonts w:ascii="Gibson Light" w:hAnsi="Gibson Light"/>
                <w:b/>
                <w:bCs/>
                <w:sz w:val="18"/>
                <w:szCs w:val="18"/>
              </w:rPr>
            </w:pPr>
            <w:r w:rsidRPr="009316F7">
              <w:rPr>
                <w:rFonts w:ascii="Gibson Light" w:hAnsi="Gibson Light"/>
                <w:b/>
                <w:bCs/>
                <w:sz w:val="18"/>
                <w:szCs w:val="18"/>
              </w:rPr>
              <w:t xml:space="preserve">information about any changes to the responsible person's policies and procedures </w:t>
            </w:r>
            <w:r w:rsidR="00DF21E6" w:rsidRPr="009316F7">
              <w:rPr>
                <w:rFonts w:ascii="Gibson Light" w:hAnsi="Gibson Light"/>
                <w:b/>
                <w:bCs/>
                <w:sz w:val="18"/>
                <w:szCs w:val="18"/>
              </w:rPr>
              <w:t>because of</w:t>
            </w:r>
            <w:r w:rsidRPr="009316F7">
              <w:rPr>
                <w:rFonts w:ascii="Gibson Light" w:hAnsi="Gibson Light"/>
                <w:b/>
                <w:bCs/>
                <w:sz w:val="18"/>
                <w:szCs w:val="18"/>
              </w:rPr>
              <w:t xml:space="preserve"> incidents to which the duty of candour has </w:t>
            </w:r>
            <w:r w:rsidR="00DF21E6" w:rsidRPr="009316F7">
              <w:rPr>
                <w:rFonts w:ascii="Gibson Light" w:hAnsi="Gibson Light"/>
                <w:b/>
                <w:bCs/>
                <w:sz w:val="18"/>
                <w:szCs w:val="18"/>
              </w:rPr>
              <w:t>applied.</w:t>
            </w:r>
          </w:p>
          <w:p w14:paraId="0E59D601" w14:textId="77777777" w:rsidR="009A0D87" w:rsidRPr="009316F7" w:rsidRDefault="009A0D87" w:rsidP="009A0D87">
            <w:pPr>
              <w:rPr>
                <w:rFonts w:ascii="Gibson Light" w:hAnsi="Gibson Light"/>
                <w:sz w:val="18"/>
                <w:szCs w:val="18"/>
              </w:rPr>
            </w:pPr>
          </w:p>
        </w:tc>
      </w:tr>
      <w:tr w:rsidR="009A0D87" w:rsidRPr="009316F7" w14:paraId="405B8B48" w14:textId="77777777" w:rsidTr="009A0D87">
        <w:tc>
          <w:tcPr>
            <w:tcW w:w="10338" w:type="dxa"/>
          </w:tcPr>
          <w:p w14:paraId="303363EF" w14:textId="77777777" w:rsidR="009A0D87" w:rsidRDefault="009316F7" w:rsidP="009316F7">
            <w:pPr>
              <w:jc w:val="center"/>
              <w:rPr>
                <w:rFonts w:ascii="Gibson Light" w:hAnsi="Gibson Light"/>
                <w:sz w:val="18"/>
                <w:szCs w:val="18"/>
              </w:rPr>
            </w:pPr>
            <w:r>
              <w:rPr>
                <w:rFonts w:ascii="Gibson Light" w:hAnsi="Gibson Light"/>
                <w:sz w:val="18"/>
                <w:szCs w:val="18"/>
              </w:rPr>
              <w:t>NA</w:t>
            </w:r>
          </w:p>
          <w:p w14:paraId="1A441162" w14:textId="1929CB50" w:rsidR="009316F7" w:rsidRPr="009316F7" w:rsidRDefault="009316F7" w:rsidP="009316F7">
            <w:pPr>
              <w:jc w:val="center"/>
              <w:rPr>
                <w:rFonts w:ascii="Gibson Light" w:hAnsi="Gibson Light"/>
                <w:sz w:val="18"/>
                <w:szCs w:val="18"/>
              </w:rPr>
            </w:pPr>
          </w:p>
        </w:tc>
      </w:tr>
    </w:tbl>
    <w:p w14:paraId="4C7C6838" w14:textId="77777777" w:rsidR="009A0D87" w:rsidRPr="009316F7" w:rsidRDefault="009A0D87" w:rsidP="009A0D87">
      <w:pPr>
        <w:jc w:val="center"/>
        <w:rPr>
          <w:rFonts w:ascii="Gibson Light" w:hAnsi="Gibson Light"/>
          <w:sz w:val="20"/>
          <w:szCs w:val="20"/>
        </w:rPr>
      </w:pPr>
    </w:p>
    <w:p w14:paraId="1663F709" w14:textId="45C9578B" w:rsidR="009A0D87" w:rsidRPr="009316F7" w:rsidRDefault="009A0D87" w:rsidP="009A0D87">
      <w:pPr>
        <w:jc w:val="both"/>
        <w:rPr>
          <w:rFonts w:ascii="Gibson Light" w:hAnsi="Gibson Light"/>
          <w:sz w:val="20"/>
          <w:szCs w:val="20"/>
        </w:rPr>
      </w:pPr>
      <w:r w:rsidRPr="009316F7">
        <w:rPr>
          <w:rFonts w:ascii="Gibson Light" w:hAnsi="Gibson Light"/>
          <w:sz w:val="20"/>
          <w:szCs w:val="20"/>
        </w:rPr>
        <w:t xml:space="preserve">This report will be made available </w:t>
      </w:r>
      <w:r w:rsidR="00144070">
        <w:rPr>
          <w:rFonts w:ascii="Gibson Light" w:hAnsi="Gibson Light"/>
          <w:sz w:val="20"/>
          <w:szCs w:val="20"/>
        </w:rPr>
        <w:t xml:space="preserve">on the </w:t>
      </w:r>
      <w:r w:rsidRPr="009316F7">
        <w:rPr>
          <w:rFonts w:ascii="Gibson Light" w:hAnsi="Gibson Light"/>
          <w:sz w:val="20"/>
          <w:szCs w:val="20"/>
        </w:rPr>
        <w:t>Thrive website.</w:t>
      </w:r>
    </w:p>
    <w:p w14:paraId="72650B61" w14:textId="77777777" w:rsidR="009A0D87" w:rsidRDefault="009A0D87" w:rsidP="009A0D87">
      <w:pPr>
        <w:jc w:val="both"/>
        <w:rPr>
          <w:rFonts w:ascii="Gibson Light" w:hAnsi="Gibson Light"/>
          <w:i/>
          <w:iCs/>
          <w:sz w:val="16"/>
          <w:szCs w:val="16"/>
        </w:rPr>
      </w:pPr>
    </w:p>
    <w:p w14:paraId="7CCE9099" w14:textId="77777777" w:rsidR="003F32C6" w:rsidRDefault="003F32C6" w:rsidP="009A0D87">
      <w:pPr>
        <w:jc w:val="both"/>
        <w:rPr>
          <w:rFonts w:ascii="Gibson Light" w:hAnsi="Gibson Light"/>
          <w:i/>
          <w:iCs/>
          <w:sz w:val="16"/>
          <w:szCs w:val="16"/>
        </w:rPr>
      </w:pPr>
    </w:p>
    <w:p w14:paraId="37A93F03" w14:textId="77777777" w:rsidR="003F32C6" w:rsidRDefault="003F32C6" w:rsidP="009A0D87">
      <w:pPr>
        <w:jc w:val="both"/>
        <w:rPr>
          <w:rFonts w:ascii="Gibson Light" w:hAnsi="Gibson Light"/>
          <w:i/>
          <w:iCs/>
          <w:sz w:val="16"/>
          <w:szCs w:val="16"/>
        </w:rPr>
      </w:pPr>
    </w:p>
    <w:p w14:paraId="1150A806" w14:textId="77777777" w:rsidR="003F32C6" w:rsidRDefault="003F32C6" w:rsidP="009A0D87">
      <w:pPr>
        <w:jc w:val="both"/>
        <w:rPr>
          <w:rFonts w:ascii="Gibson Light" w:hAnsi="Gibson Light"/>
          <w:i/>
          <w:iCs/>
          <w:sz w:val="16"/>
          <w:szCs w:val="16"/>
        </w:rPr>
      </w:pPr>
    </w:p>
    <w:p w14:paraId="1CB7E3AF" w14:textId="0483C695" w:rsidR="009A0D87" w:rsidRPr="009A0D87" w:rsidRDefault="009A0D87" w:rsidP="009A0D87">
      <w:pPr>
        <w:jc w:val="both"/>
        <w:rPr>
          <w:rFonts w:ascii="Gibson Light" w:hAnsi="Gibson Light"/>
          <w:i/>
          <w:iCs/>
          <w:sz w:val="16"/>
          <w:szCs w:val="16"/>
        </w:rPr>
      </w:pPr>
      <w:r w:rsidRPr="009A0D87">
        <w:rPr>
          <w:rFonts w:ascii="Gibson Light" w:hAnsi="Gibson Light"/>
          <w:i/>
          <w:iCs/>
          <w:sz w:val="16"/>
          <w:szCs w:val="16"/>
        </w:rPr>
        <w:t xml:space="preserve">Notified &amp; or submitted </w:t>
      </w:r>
      <w:r w:rsidR="00DF21E6" w:rsidRPr="009A0D87">
        <w:rPr>
          <w:rFonts w:ascii="Gibson Light" w:hAnsi="Gibson Light"/>
          <w:i/>
          <w:iCs/>
          <w:sz w:val="16"/>
          <w:szCs w:val="16"/>
        </w:rPr>
        <w:t>to: -</w:t>
      </w:r>
    </w:p>
    <w:p w14:paraId="57E08154" w14:textId="5948F13A" w:rsidR="009A0D87" w:rsidRPr="009A0D87" w:rsidRDefault="009A0D87" w:rsidP="009A0D87">
      <w:pPr>
        <w:pStyle w:val="ListParagraph"/>
        <w:numPr>
          <w:ilvl w:val="0"/>
          <w:numId w:val="4"/>
        </w:numPr>
        <w:spacing w:after="0" w:line="276" w:lineRule="auto"/>
        <w:ind w:left="360"/>
        <w:jc w:val="both"/>
        <w:rPr>
          <w:rFonts w:ascii="Gibson Light" w:hAnsi="Gibson Light"/>
          <w:i/>
          <w:iCs/>
          <w:sz w:val="16"/>
          <w:szCs w:val="16"/>
        </w:rPr>
      </w:pPr>
      <w:r w:rsidRPr="009A0D87">
        <w:rPr>
          <w:rFonts w:ascii="Gibson Light" w:hAnsi="Gibson Light"/>
          <w:i/>
          <w:iCs/>
          <w:sz w:val="16"/>
          <w:szCs w:val="16"/>
        </w:rPr>
        <w:t>Healthcare Improvement Scotland</w:t>
      </w:r>
      <w:r w:rsidRPr="009A0D87">
        <w:rPr>
          <w:rFonts w:ascii="Gibson Light" w:hAnsi="Gibson Light"/>
          <w:i/>
          <w:iCs/>
          <w:sz w:val="16"/>
          <w:szCs w:val="16"/>
        </w:rPr>
        <w:tab/>
      </w:r>
      <w:r w:rsidRPr="009A0D87">
        <w:rPr>
          <w:rFonts w:ascii="Gibson Light" w:hAnsi="Gibson Light"/>
          <w:i/>
          <w:iCs/>
          <w:sz w:val="16"/>
          <w:szCs w:val="16"/>
        </w:rPr>
        <w:tab/>
      </w:r>
      <w:r w:rsidRPr="009A0D87">
        <w:rPr>
          <w:rFonts w:ascii="Gibson Light" w:hAnsi="Gibson Light"/>
          <w:i/>
          <w:iCs/>
          <w:sz w:val="16"/>
          <w:szCs w:val="16"/>
        </w:rPr>
        <w:tab/>
        <w:t>Yes</w:t>
      </w:r>
    </w:p>
    <w:p w14:paraId="5ACE50E0" w14:textId="1BC239B2" w:rsidR="009A0D87" w:rsidRPr="009A0D87" w:rsidRDefault="009A0D87" w:rsidP="009A0D87">
      <w:pPr>
        <w:pStyle w:val="ListParagraph"/>
        <w:numPr>
          <w:ilvl w:val="0"/>
          <w:numId w:val="4"/>
        </w:numPr>
        <w:spacing w:after="0" w:line="276" w:lineRule="auto"/>
        <w:ind w:left="360"/>
        <w:jc w:val="both"/>
        <w:rPr>
          <w:rFonts w:ascii="Gibson Light" w:hAnsi="Gibson Light"/>
          <w:i/>
          <w:iCs/>
          <w:sz w:val="16"/>
          <w:szCs w:val="16"/>
        </w:rPr>
      </w:pPr>
      <w:r w:rsidRPr="009A0D87">
        <w:rPr>
          <w:rFonts w:ascii="Gibson Light" w:hAnsi="Gibson Light"/>
          <w:i/>
          <w:iCs/>
          <w:sz w:val="16"/>
          <w:szCs w:val="16"/>
        </w:rPr>
        <w:t xml:space="preserve">The Scottish Ministers  </w:t>
      </w:r>
      <w:hyperlink r:id="rId10" w:history="1">
        <w:r w:rsidRPr="009A0D87">
          <w:rPr>
            <w:rStyle w:val="Hyperlink"/>
            <w:rFonts w:ascii="Gibson Light" w:hAnsi="Gibson Light"/>
            <w:i/>
            <w:iCs/>
            <w:sz w:val="16"/>
            <w:szCs w:val="16"/>
          </w:rPr>
          <w:t>dutyofcandour@gov.scot</w:t>
        </w:r>
      </w:hyperlink>
      <w:r w:rsidRPr="009A0D87">
        <w:rPr>
          <w:rFonts w:ascii="Gibson Light" w:hAnsi="Gibson Light"/>
          <w:i/>
          <w:iCs/>
          <w:sz w:val="16"/>
          <w:szCs w:val="16"/>
        </w:rPr>
        <w:tab/>
      </w:r>
      <w:r w:rsidRPr="009A0D87">
        <w:rPr>
          <w:rFonts w:ascii="Gibson Light" w:hAnsi="Gibson Light"/>
          <w:i/>
          <w:iCs/>
          <w:sz w:val="16"/>
          <w:szCs w:val="16"/>
        </w:rPr>
        <w:tab/>
        <w:t>Yes</w:t>
      </w:r>
    </w:p>
    <w:p w14:paraId="09D99D39" w14:textId="076EDDD2" w:rsidR="009A0D87" w:rsidRPr="009A0D87" w:rsidRDefault="009A0D87" w:rsidP="009A0D87">
      <w:pPr>
        <w:pStyle w:val="ListParagraph"/>
        <w:numPr>
          <w:ilvl w:val="0"/>
          <w:numId w:val="4"/>
        </w:numPr>
        <w:spacing w:after="0" w:line="276" w:lineRule="auto"/>
        <w:ind w:left="360"/>
        <w:jc w:val="both"/>
        <w:rPr>
          <w:rFonts w:ascii="Gibson Light" w:hAnsi="Gibson Light"/>
          <w:i/>
          <w:iCs/>
          <w:sz w:val="16"/>
          <w:szCs w:val="16"/>
        </w:rPr>
      </w:pPr>
      <w:r w:rsidRPr="009A0D87">
        <w:rPr>
          <w:rFonts w:ascii="Gibson Light" w:hAnsi="Gibson Light"/>
          <w:i/>
          <w:iCs/>
          <w:sz w:val="16"/>
          <w:szCs w:val="16"/>
        </w:rPr>
        <w:t>The Care Inspectorate</w:t>
      </w:r>
      <w:r w:rsidRPr="009A0D87">
        <w:rPr>
          <w:rFonts w:ascii="Gibson Light" w:hAnsi="Gibson Light"/>
          <w:i/>
          <w:iCs/>
          <w:sz w:val="16"/>
          <w:szCs w:val="16"/>
        </w:rPr>
        <w:tab/>
      </w:r>
      <w:r w:rsidRPr="009A0D87">
        <w:rPr>
          <w:rFonts w:ascii="Gibson Light" w:hAnsi="Gibson Light"/>
          <w:i/>
          <w:iCs/>
          <w:sz w:val="16"/>
          <w:szCs w:val="16"/>
        </w:rPr>
        <w:tab/>
      </w:r>
      <w:r w:rsidRPr="009A0D87">
        <w:rPr>
          <w:rFonts w:ascii="Gibson Light" w:hAnsi="Gibson Light"/>
          <w:i/>
          <w:iCs/>
          <w:sz w:val="16"/>
          <w:szCs w:val="16"/>
        </w:rPr>
        <w:tab/>
      </w:r>
      <w:r w:rsidRPr="009A0D87">
        <w:rPr>
          <w:rFonts w:ascii="Gibson Light" w:hAnsi="Gibson Light"/>
          <w:i/>
          <w:iCs/>
          <w:sz w:val="16"/>
          <w:szCs w:val="16"/>
        </w:rPr>
        <w:tab/>
        <w:t>Yes</w:t>
      </w:r>
    </w:p>
    <w:sectPr w:rsidR="009A0D87" w:rsidRPr="009A0D87" w:rsidSect="009A0D87">
      <w:headerReference w:type="default" r:id="rId11"/>
      <w:pgSz w:w="11906" w:h="16838"/>
      <w:pgMar w:top="1440" w:right="849"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14F8B" w14:textId="77777777" w:rsidR="00BA3010" w:rsidRDefault="00BA3010" w:rsidP="00BA3010">
      <w:pPr>
        <w:spacing w:after="0" w:line="240" w:lineRule="auto"/>
      </w:pPr>
      <w:r>
        <w:separator/>
      </w:r>
    </w:p>
  </w:endnote>
  <w:endnote w:type="continuationSeparator" w:id="0">
    <w:p w14:paraId="0B354E49" w14:textId="77777777" w:rsidR="00BA3010" w:rsidRDefault="00BA3010" w:rsidP="00BA3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bson Light">
    <w:panose1 w:val="02000000000000000000"/>
    <w:charset w:val="00"/>
    <w:family w:val="modern"/>
    <w:notTrueType/>
    <w:pitch w:val="variable"/>
    <w:sig w:usb0="A000002F" w:usb1="50000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CAE90" w14:textId="77777777" w:rsidR="00BA3010" w:rsidRDefault="00BA3010" w:rsidP="00BA3010">
      <w:pPr>
        <w:spacing w:after="0" w:line="240" w:lineRule="auto"/>
      </w:pPr>
      <w:r>
        <w:separator/>
      </w:r>
    </w:p>
  </w:footnote>
  <w:footnote w:type="continuationSeparator" w:id="0">
    <w:p w14:paraId="7C213A38" w14:textId="77777777" w:rsidR="00BA3010" w:rsidRDefault="00BA3010" w:rsidP="00BA3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8DB62" w14:textId="0824CBEF" w:rsidR="00BA3010" w:rsidRDefault="00BA3010" w:rsidP="00BA3010">
    <w:pPr>
      <w:pStyle w:val="Header"/>
      <w:jc w:val="center"/>
      <w:rPr>
        <w:rFonts w:ascii="Gibson Light" w:hAnsi="Gibson Light"/>
        <w:b/>
        <w:bCs/>
        <w:sz w:val="28"/>
        <w:szCs w:val="28"/>
        <w:u w:val="single"/>
      </w:rPr>
    </w:pPr>
    <w:r w:rsidRPr="00BA3010">
      <w:rPr>
        <w:rFonts w:ascii="Gibson Light" w:hAnsi="Gibson Light"/>
        <w:b/>
        <w:bCs/>
        <w:noProof/>
        <w:sz w:val="28"/>
        <w:szCs w:val="28"/>
        <w:u w:val="single"/>
      </w:rPr>
      <w:drawing>
        <wp:anchor distT="0" distB="0" distL="114300" distR="114300" simplePos="0" relativeHeight="251658240" behindDoc="0" locked="0" layoutInCell="1" allowOverlap="1" wp14:anchorId="50B4593A" wp14:editId="7F227C74">
          <wp:simplePos x="0" y="0"/>
          <wp:positionH relativeFrom="margin">
            <wp:posOffset>5193181</wp:posOffset>
          </wp:positionH>
          <wp:positionV relativeFrom="paragraph">
            <wp:posOffset>-313045</wp:posOffset>
          </wp:positionV>
          <wp:extent cx="1623534" cy="656357"/>
          <wp:effectExtent l="0" t="0" r="0" b="0"/>
          <wp:wrapNone/>
          <wp:docPr id="19" name="Picture 19"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3534" cy="656357"/>
                  </a:xfrm>
                  <a:prstGeom prst="rect">
                    <a:avLst/>
                  </a:prstGeom>
                </pic:spPr>
              </pic:pic>
            </a:graphicData>
          </a:graphic>
          <wp14:sizeRelH relativeFrom="margin">
            <wp14:pctWidth>0</wp14:pctWidth>
          </wp14:sizeRelH>
          <wp14:sizeRelV relativeFrom="margin">
            <wp14:pctHeight>0</wp14:pctHeight>
          </wp14:sizeRelV>
        </wp:anchor>
      </w:drawing>
    </w:r>
    <w:r w:rsidRPr="00BA3010">
      <w:rPr>
        <w:rFonts w:ascii="Gibson Light" w:hAnsi="Gibson Light"/>
        <w:b/>
        <w:bCs/>
        <w:sz w:val="28"/>
        <w:szCs w:val="28"/>
        <w:u w:val="single"/>
      </w:rPr>
      <w:t>Thrive Childcare &amp; Education</w:t>
    </w:r>
  </w:p>
  <w:p w14:paraId="358DF610" w14:textId="77777777" w:rsidR="00BA3010" w:rsidRPr="00BA3010" w:rsidRDefault="00BA3010" w:rsidP="00BA3010">
    <w:pPr>
      <w:pStyle w:val="Header"/>
      <w:jc w:val="center"/>
      <w:rPr>
        <w:rFonts w:ascii="Gibson Light" w:hAnsi="Gibson Light"/>
        <w:b/>
        <w:bCs/>
        <w:sz w:val="28"/>
        <w:szCs w:val="28"/>
        <w:u w:val="single"/>
      </w:rPr>
    </w:pPr>
  </w:p>
  <w:p w14:paraId="690447C6" w14:textId="244C87B6" w:rsidR="00BA3010" w:rsidRPr="00BA3010" w:rsidRDefault="00BA3010" w:rsidP="00BA3010">
    <w:pPr>
      <w:pStyle w:val="Header"/>
      <w:jc w:val="center"/>
      <w:rPr>
        <w:rFonts w:ascii="Gibson Light" w:hAnsi="Gibson Light"/>
        <w:b/>
        <w:bCs/>
        <w:sz w:val="28"/>
        <w:szCs w:val="28"/>
        <w:u w:val="single"/>
      </w:rPr>
    </w:pPr>
    <w:r w:rsidRPr="00BA3010">
      <w:rPr>
        <w:rFonts w:ascii="Gibson Light" w:hAnsi="Gibson Light"/>
        <w:b/>
        <w:bCs/>
        <w:sz w:val="28"/>
        <w:szCs w:val="28"/>
        <w:u w:val="single"/>
      </w:rPr>
      <w:t xml:space="preserve">Duty of </w:t>
    </w:r>
    <w:r w:rsidR="00E60C3E">
      <w:rPr>
        <w:rFonts w:ascii="Gibson Light" w:hAnsi="Gibson Light"/>
        <w:b/>
        <w:bCs/>
        <w:sz w:val="28"/>
        <w:szCs w:val="28"/>
        <w:u w:val="single"/>
      </w:rPr>
      <w:t>C</w:t>
    </w:r>
    <w:r w:rsidRPr="00BA3010">
      <w:rPr>
        <w:rFonts w:ascii="Gibson Light" w:hAnsi="Gibson Light"/>
        <w:b/>
        <w:bCs/>
        <w:sz w:val="28"/>
        <w:szCs w:val="28"/>
        <w:u w:val="single"/>
      </w:rPr>
      <w:t xml:space="preserve">andour Report </w:t>
    </w:r>
    <w:r w:rsidR="00E60C3E">
      <w:rPr>
        <w:rFonts w:ascii="Gibson Light" w:hAnsi="Gibson Light"/>
        <w:b/>
        <w:bCs/>
        <w:sz w:val="28"/>
        <w:szCs w:val="28"/>
        <w:u w:val="single"/>
      </w:rPr>
      <w:t xml:space="preserve">for </w:t>
    </w:r>
    <w:r w:rsidRPr="00BA3010">
      <w:rPr>
        <w:rFonts w:ascii="Gibson Light" w:hAnsi="Gibson Light"/>
        <w:b/>
        <w:bCs/>
        <w:sz w:val="28"/>
        <w:szCs w:val="28"/>
        <w:u w:val="single"/>
      </w:rPr>
      <w:t>202</w:t>
    </w:r>
    <w:r w:rsidR="00144070">
      <w:rPr>
        <w:rFonts w:ascii="Gibson Light" w:hAnsi="Gibson Light"/>
        <w:b/>
        <w:bCs/>
        <w:sz w:val="28"/>
        <w:szCs w:val="28"/>
        <w:u w:val="single"/>
      </w:rPr>
      <w:t>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A64CB"/>
    <w:multiLevelType w:val="hybridMultilevel"/>
    <w:tmpl w:val="6D4A10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145A96"/>
    <w:multiLevelType w:val="hybridMultilevel"/>
    <w:tmpl w:val="C6CAC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602850"/>
    <w:multiLevelType w:val="hybridMultilevel"/>
    <w:tmpl w:val="CB2A8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1345BB"/>
    <w:multiLevelType w:val="hybridMultilevel"/>
    <w:tmpl w:val="F0FEE94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56986255">
    <w:abstractNumId w:val="3"/>
  </w:num>
  <w:num w:numId="2" w16cid:durableId="20672202">
    <w:abstractNumId w:val="0"/>
  </w:num>
  <w:num w:numId="3" w16cid:durableId="1222136720">
    <w:abstractNumId w:val="1"/>
  </w:num>
  <w:num w:numId="4" w16cid:durableId="1001472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010"/>
    <w:rsid w:val="00144070"/>
    <w:rsid w:val="002710A7"/>
    <w:rsid w:val="003F32C6"/>
    <w:rsid w:val="0040301A"/>
    <w:rsid w:val="00416256"/>
    <w:rsid w:val="0043291E"/>
    <w:rsid w:val="00561276"/>
    <w:rsid w:val="00601CAE"/>
    <w:rsid w:val="00620255"/>
    <w:rsid w:val="00741352"/>
    <w:rsid w:val="00857DDD"/>
    <w:rsid w:val="009316F7"/>
    <w:rsid w:val="009A0D87"/>
    <w:rsid w:val="009E736D"/>
    <w:rsid w:val="00BA3010"/>
    <w:rsid w:val="00BB0889"/>
    <w:rsid w:val="00D37B6A"/>
    <w:rsid w:val="00DF21E6"/>
    <w:rsid w:val="00E60C3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71B8C"/>
  <w15:chartTrackingRefBased/>
  <w15:docId w15:val="{75FB4A98-9A6D-4F0C-AF07-A0F6A331B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010"/>
  </w:style>
  <w:style w:type="paragraph" w:styleId="Heading2">
    <w:name w:val="heading 2"/>
    <w:basedOn w:val="Normal"/>
    <w:next w:val="Normal"/>
    <w:link w:val="Heading2Char"/>
    <w:uiPriority w:val="9"/>
    <w:unhideWhenUsed/>
    <w:qFormat/>
    <w:rsid w:val="00BA30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0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3010"/>
  </w:style>
  <w:style w:type="paragraph" w:styleId="Footer">
    <w:name w:val="footer"/>
    <w:basedOn w:val="Normal"/>
    <w:link w:val="FooterChar"/>
    <w:uiPriority w:val="99"/>
    <w:unhideWhenUsed/>
    <w:rsid w:val="00BA30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3010"/>
  </w:style>
  <w:style w:type="character" w:customStyle="1" w:styleId="Heading2Char">
    <w:name w:val="Heading 2 Char"/>
    <w:basedOn w:val="DefaultParagraphFont"/>
    <w:link w:val="Heading2"/>
    <w:uiPriority w:val="9"/>
    <w:rsid w:val="00BA301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A3010"/>
    <w:pPr>
      <w:ind w:left="720"/>
      <w:contextualSpacing/>
    </w:pPr>
  </w:style>
  <w:style w:type="character" w:styleId="Hyperlink">
    <w:name w:val="Hyperlink"/>
    <w:basedOn w:val="DefaultParagraphFont"/>
    <w:uiPriority w:val="99"/>
    <w:unhideWhenUsed/>
    <w:rsid w:val="009A0D87"/>
    <w:rPr>
      <w:color w:val="0563C1" w:themeColor="hyperlink"/>
      <w:u w:val="single"/>
    </w:rPr>
  </w:style>
  <w:style w:type="table" w:styleId="TableGrid">
    <w:name w:val="Table Grid"/>
    <w:basedOn w:val="TableNormal"/>
    <w:uiPriority w:val="39"/>
    <w:rsid w:val="009A0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utyofcandour@gov.sco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ast_x0020_edited xmlns="64a011d1-a072-48a5-b8d5-3000aef30b14">
      <UserInfo>
        <DisplayName/>
        <AccountId xsi:nil="true"/>
        <AccountType/>
      </UserInfo>
    </Last_x0020_edited>
    <lcf76f155ced4ddcb4097134ff3c332f xmlns="64a011d1-a072-48a5-b8d5-3000aef30b14">
      <Terms xmlns="http://schemas.microsoft.com/office/infopath/2007/PartnerControls"/>
    </lcf76f155ced4ddcb4097134ff3c332f>
    <_Flow_SignoffStatus xmlns="64a011d1-a072-48a5-b8d5-3000aef30b14" xsi:nil="true"/>
    <TaxKeywordTaxHTField xmlns="01ab460c-bbae-4f53-a4b1-e088945f1775">
      <Terms xmlns="http://schemas.microsoft.com/office/infopath/2007/PartnerControls"/>
    </TaxKeywordTaxHTField>
    <TaxCatchAll xmlns="01ab460c-bbae-4f53-a4b1-e088945f1775" xsi:nil="true"/>
    <date xmlns="64a011d1-a072-48a5-b8d5-3000aef30b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FE7A64C41DF74891C327E0C21A459D" ma:contentTypeVersion="28" ma:contentTypeDescription="Create a new document." ma:contentTypeScope="" ma:versionID="06a1859cd3f888cbdb3db2c697aaeaa2">
  <xsd:schema xmlns:xsd="http://www.w3.org/2001/XMLSchema" xmlns:xs="http://www.w3.org/2001/XMLSchema" xmlns:p="http://schemas.microsoft.com/office/2006/metadata/properties" xmlns:ns2="01ab460c-bbae-4f53-a4b1-e088945f1775" xmlns:ns3="64a011d1-a072-48a5-b8d5-3000aef30b14" targetNamespace="http://schemas.microsoft.com/office/2006/metadata/properties" ma:root="true" ma:fieldsID="0321eb463cb9ab9a2e264254996fb07d" ns2:_="" ns3:_="">
    <xsd:import namespace="01ab460c-bbae-4f53-a4b1-e088945f1775"/>
    <xsd:import namespace="64a011d1-a072-48a5-b8d5-3000aef30b14"/>
    <xsd:element name="properties">
      <xsd:complexType>
        <xsd:sequence>
          <xsd:element name="documentManagement">
            <xsd:complexType>
              <xsd:all>
                <xsd:element ref="ns3:Last_x0020_edite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2:SharedWithUsers" minOccurs="0"/>
                <xsd:element ref="ns2:SharedWithDetails" minOccurs="0"/>
                <xsd:element ref="ns2:TaxKeywordTaxHTField" minOccurs="0"/>
                <xsd:element ref="ns2:TaxCatchAll" minOccurs="0"/>
                <xsd:element ref="ns3:MediaLengthInSeconds" minOccurs="0"/>
                <xsd:element ref="ns3:lcf76f155ced4ddcb4097134ff3c332f" minOccurs="0"/>
                <xsd:element ref="ns3:date"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b460c-bbae-4f53-a4b1-e088945f1775"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KeywordTaxHTField" ma:index="21" nillable="true" ma:taxonomy="true" ma:internalName="TaxKeywordTaxHTField" ma:taxonomyFieldName="TaxKeyword" ma:displayName="Keywords" ma:readOnly="false" ma:fieldId="{23f27201-bee3-471e-b2e7-b64fd8b7ca38}" ma:taxonomyMulti="true" ma:sspId="fbadad50-7e16-4c4a-bfb7-dd76e1919082"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hidden="true" ma:list="{64145177-6d11-4354-8cfa-2762db3f2ffc}" ma:internalName="TaxCatchAll" ma:readOnly="false" ma:showField="CatchAllData" ma:web="01ab460c-bbae-4f53-a4b1-e088945f17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a011d1-a072-48a5-b8d5-3000aef30b14" elementFormDefault="qualified">
    <xsd:import namespace="http://schemas.microsoft.com/office/2006/documentManagement/types"/>
    <xsd:import namespace="http://schemas.microsoft.com/office/infopath/2007/PartnerControls"/>
    <xsd:element name="Last_x0020_edited" ma:index="3" nillable="true" ma:displayName="Last edited" ma:list="UserInfo" ma:SharePointGroup="0" ma:internalName="Last_x0020_edited" ma:readOnly="false" ma:showField="Modifi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badad50-7e16-4c4a-bfb7-dd76e1919082" ma:termSetId="09814cd3-568e-fe90-9814-8d621ff8fb84" ma:anchorId="fba54fb3-c3e1-fe81-a776-ca4b69148c4d" ma:open="true" ma:isKeyword="false">
      <xsd:complexType>
        <xsd:sequence>
          <xsd:element ref="pc:Terms" minOccurs="0" maxOccurs="1"/>
        </xsd:sequence>
      </xsd:complexType>
    </xsd:element>
    <xsd:element name="date" ma:index="27" nillable="true" ma:displayName="date" ma:format="DateOnly" ma:internalName="date">
      <xsd:simpleType>
        <xsd:restriction base="dms:DateTime"/>
      </xsd:simple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66DF9A-ABBD-43D2-A517-B041F3DBA7B0}">
  <ds:schemaRefs>
    <ds:schemaRef ds:uri="http://schemas.microsoft.com/office/2006/metadata/properties"/>
    <ds:schemaRef ds:uri="http://schemas.microsoft.com/office/infopath/2007/PartnerControls"/>
    <ds:schemaRef ds:uri="64a011d1-a072-48a5-b8d5-3000aef30b14"/>
    <ds:schemaRef ds:uri="01ab460c-bbae-4f53-a4b1-e088945f1775"/>
  </ds:schemaRefs>
</ds:datastoreItem>
</file>

<file path=customXml/itemProps2.xml><?xml version="1.0" encoding="utf-8"?>
<ds:datastoreItem xmlns:ds="http://schemas.openxmlformats.org/officeDocument/2006/customXml" ds:itemID="{AD16F79A-20A7-47F6-873E-4A74C4A64CF8}">
  <ds:schemaRefs>
    <ds:schemaRef ds:uri="http://schemas.microsoft.com/sharepoint/v3/contenttype/forms"/>
  </ds:schemaRefs>
</ds:datastoreItem>
</file>

<file path=customXml/itemProps3.xml><?xml version="1.0" encoding="utf-8"?>
<ds:datastoreItem xmlns:ds="http://schemas.openxmlformats.org/officeDocument/2006/customXml" ds:itemID="{0C04260C-1B99-4E0F-84AD-0E059F8D8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b460c-bbae-4f53-a4b1-e088945f1775"/>
    <ds:schemaRef ds:uri="64a011d1-a072-48a5-b8d5-3000aef30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433</Words>
  <Characters>2470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 Rankin</dc:creator>
  <cp:keywords/>
  <dc:description/>
  <cp:lastModifiedBy>Ursula Krystek-Walton</cp:lastModifiedBy>
  <cp:revision>2</cp:revision>
  <dcterms:created xsi:type="dcterms:W3CDTF">2026-01-27T11:08:00Z</dcterms:created>
  <dcterms:modified xsi:type="dcterms:W3CDTF">2026-01-27T11:08:00Z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0x0101001FFE7A64C41DF74891C327E0C21A459D</vt:lpwstr>
  </property>
  <property fmtid="{D5CDD505-2E9C-101B-9397-08002B2CF9AE}" pid="3" name="TaxKeyword">
    <vt:lpwstr/>
  </property>
</Properties>
</file>